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299FB" w14:textId="77777777" w:rsidR="00B06CC2" w:rsidRDefault="00B06CC2" w:rsidP="00B06CC2">
      <w:pPr>
        <w:jc w:val="center"/>
        <w:rPr>
          <w:rFonts w:ascii="Roboto" w:hAnsi="Roboto"/>
          <w:shd w:val="clear" w:color="auto" w:fill="FFFFFF"/>
        </w:rPr>
      </w:pPr>
      <w:r w:rsidRPr="00B06CC2">
        <w:rPr>
          <w:rFonts w:ascii="Roboto" w:hAnsi="Roboto"/>
          <w:b/>
          <w:bCs/>
          <w:sz w:val="28"/>
          <w:szCs w:val="28"/>
          <w:u w:val="single"/>
          <w:shd w:val="clear" w:color="auto" w:fill="FFFFFF"/>
        </w:rPr>
        <w:t>Access to Electronic Information, Services, and Networks</w:t>
      </w:r>
      <w:r w:rsidRPr="00B06CC2">
        <w:rPr>
          <w:rFonts w:ascii="Roboto" w:hAnsi="Roboto"/>
          <w:shd w:val="clear" w:color="auto" w:fill="FFFFFF"/>
        </w:rPr>
        <w:br/>
      </w:r>
      <w:r w:rsidRPr="00B06CC2">
        <w:rPr>
          <w:rFonts w:ascii="Roboto" w:hAnsi="Roboto"/>
          <w:b/>
          <w:bCs/>
          <w:i/>
          <w:iCs/>
          <w:shd w:val="clear" w:color="auto" w:fill="FFFFFF"/>
        </w:rPr>
        <w:t>An Interpretation of the Library Bill of Rights</w:t>
      </w:r>
    </w:p>
    <w:p w14:paraId="4B4BD6DC" w14:textId="77777777" w:rsidR="00B06CC2" w:rsidRPr="00B06CC2" w:rsidRDefault="00B06CC2" w:rsidP="00B06CC2">
      <w:pPr>
        <w:jc w:val="center"/>
        <w:rPr>
          <w:rFonts w:ascii="Roboto" w:hAnsi="Roboto"/>
        </w:rPr>
      </w:pPr>
    </w:p>
    <w:p w14:paraId="54CA1F6E" w14:textId="77777777" w:rsidR="00B06CC2" w:rsidRPr="00B06CC2" w:rsidRDefault="00B06CC2" w:rsidP="00B06CC2">
      <w:pPr>
        <w:jc w:val="center"/>
        <w:rPr>
          <w:rFonts w:ascii="Roboto" w:hAnsi="Roboto"/>
          <w:b/>
          <w:bCs/>
          <w:i/>
          <w:iCs/>
          <w:shd w:val="clear" w:color="auto" w:fill="FFFFFF"/>
        </w:rPr>
      </w:pPr>
      <w:r w:rsidRPr="00B06CC2">
        <w:rPr>
          <w:rFonts w:ascii="Roboto" w:hAnsi="Roboto"/>
          <w:b/>
          <w:bCs/>
          <w:i/>
          <w:iCs/>
          <w:shd w:val="clear" w:color="auto" w:fill="FFFFFF"/>
        </w:rPr>
        <w:t>Introduction</w:t>
      </w:r>
    </w:p>
    <w:p w14:paraId="3D064610" w14:textId="77777777" w:rsidR="00B06CC2" w:rsidRPr="00B06CC2" w:rsidRDefault="00B06CC2" w:rsidP="00B06CC2">
      <w:pPr>
        <w:jc w:val="both"/>
        <w:rPr>
          <w:rFonts w:ascii="Roboto" w:hAnsi="Roboto"/>
          <w:i/>
          <w:iCs/>
        </w:rPr>
      </w:pPr>
    </w:p>
    <w:p w14:paraId="69249281"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Freedom of expression is an inalienable human right and the foundation for self-government. Freedom of expression encompasses the freedom of speech and the corollary right to receive information.</w:t>
      </w:r>
      <w:hyperlink r:id="rId7" w:anchor="1" w:history="1">
        <w:r w:rsidRPr="00B06CC2">
          <w:rPr>
            <w:rFonts w:ascii="Roboto" w:hAnsi="Roboto"/>
            <w:vertAlign w:val="superscript"/>
          </w:rPr>
          <w:t>1</w:t>
        </w:r>
      </w:hyperlink>
      <w:r w:rsidRPr="00B06CC2">
        <w:rPr>
          <w:rFonts w:ascii="Roboto" w:hAnsi="Roboto"/>
          <w:shd w:val="clear" w:color="auto" w:fill="FFFFFF"/>
        </w:rPr>
        <w:t> Libraries and librarians protect and promote these rights by selecting, producing, providing access to, identifying, retrieving, organizing, providing instruction in the use of, and preserving recorded expression regardless of the format or technology.</w:t>
      </w:r>
    </w:p>
    <w:p w14:paraId="792BCB42" w14:textId="77777777" w:rsidR="00B06CC2" w:rsidRPr="00B06CC2" w:rsidRDefault="00B06CC2" w:rsidP="00B06CC2">
      <w:pPr>
        <w:jc w:val="both"/>
        <w:rPr>
          <w:rFonts w:ascii="Roboto" w:hAnsi="Roboto"/>
        </w:rPr>
      </w:pPr>
    </w:p>
    <w:p w14:paraId="3B154D02"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The American Library Association expresses these basic principles of librarianship in its </w:t>
      </w:r>
      <w:hyperlink r:id="rId8" w:history="1">
        <w:r w:rsidRPr="00B06CC2">
          <w:rPr>
            <w:rFonts w:ascii="Roboto" w:hAnsi="Roboto"/>
          </w:rPr>
          <w:t>Code of Ethics</w:t>
        </w:r>
      </w:hyperlink>
      <w:r w:rsidRPr="00B06CC2">
        <w:rPr>
          <w:rFonts w:ascii="Roboto" w:hAnsi="Roboto"/>
          <w:shd w:val="clear" w:color="auto" w:fill="FFFFFF"/>
        </w:rPr>
        <w:t> and in the </w:t>
      </w:r>
      <w:hyperlink r:id="rId9" w:history="1">
        <w:r w:rsidRPr="00B06CC2">
          <w:rPr>
            <w:rFonts w:ascii="Roboto" w:hAnsi="Roboto"/>
          </w:rPr>
          <w:t>Library Bill of Rights</w:t>
        </w:r>
      </w:hyperlink>
      <w:r w:rsidRPr="00B06CC2">
        <w:rPr>
          <w:rFonts w:ascii="Roboto" w:hAnsi="Roboto"/>
          <w:shd w:val="clear" w:color="auto" w:fill="FFFFFF"/>
        </w:rPr>
        <w:t> and its Interpretations. These serve to guide librarians and library governing bodies in addressing issues of intellectual freedom that arise when the library provides access to electronic information, services, and networks.</w:t>
      </w:r>
    </w:p>
    <w:p w14:paraId="4524D164" w14:textId="77777777" w:rsidR="00B06CC2" w:rsidRPr="00B06CC2" w:rsidRDefault="00B06CC2" w:rsidP="00B06CC2">
      <w:pPr>
        <w:jc w:val="both"/>
        <w:rPr>
          <w:rFonts w:ascii="Roboto" w:hAnsi="Roboto"/>
        </w:rPr>
      </w:pPr>
    </w:p>
    <w:p w14:paraId="3B382004"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Libraries empower users by providing access to the broadest range of information. Electronic resources, including information available via the Internet, allow libraries to fulfill this responsibility better than ever before.</w:t>
      </w:r>
    </w:p>
    <w:p w14:paraId="5E9F609F" w14:textId="77777777" w:rsidR="00B06CC2" w:rsidRPr="00B06CC2" w:rsidRDefault="00B06CC2" w:rsidP="00B06CC2">
      <w:pPr>
        <w:jc w:val="both"/>
        <w:rPr>
          <w:rFonts w:ascii="Roboto" w:hAnsi="Roboto"/>
        </w:rPr>
      </w:pPr>
    </w:p>
    <w:p w14:paraId="73310E92" w14:textId="77777777" w:rsidR="00B06CC2" w:rsidRPr="00B06CC2" w:rsidRDefault="00B06CC2" w:rsidP="00B06CC2">
      <w:pPr>
        <w:jc w:val="both"/>
        <w:rPr>
          <w:rFonts w:ascii="Roboto" w:hAnsi="Roboto"/>
        </w:rPr>
      </w:pPr>
      <w:r w:rsidRPr="00B06CC2">
        <w:rPr>
          <w:rFonts w:ascii="Roboto" w:hAnsi="Roboto"/>
          <w:shd w:val="clear" w:color="auto" w:fill="FFFFFF"/>
        </w:rPr>
        <w:t>Issues arising from digital generation, distribution, and retrieval of information need to be approached and regularly reviewed from a context of constitutional principles and ALA policies so that fundamental and traditional tenets of librarianship are not swept away.</w:t>
      </w:r>
    </w:p>
    <w:p w14:paraId="3C08DE11"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Electronic information flows across boundaries and barriers despite attempts by individuals, governments, and private entities to channel or control it. Even so, many people lack access or capability to use electronic information effectively.</w:t>
      </w:r>
    </w:p>
    <w:p w14:paraId="7E6C1B83" w14:textId="77777777" w:rsidR="00B06CC2" w:rsidRPr="00B06CC2" w:rsidRDefault="00B06CC2" w:rsidP="00B06CC2">
      <w:pPr>
        <w:jc w:val="both"/>
        <w:rPr>
          <w:rFonts w:ascii="Roboto" w:hAnsi="Roboto"/>
        </w:rPr>
      </w:pPr>
    </w:p>
    <w:p w14:paraId="3B3C02B9"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In making decisions about how to offer access to electronic information, each library should consider its mission, goals, objectives, cooperative agreements, and the needs of the entire community it serves.</w:t>
      </w:r>
    </w:p>
    <w:p w14:paraId="0257D48E" w14:textId="77777777" w:rsidR="00B06CC2" w:rsidRPr="00B06CC2" w:rsidRDefault="00B06CC2" w:rsidP="00B06CC2">
      <w:pPr>
        <w:jc w:val="both"/>
        <w:rPr>
          <w:rFonts w:ascii="Roboto" w:hAnsi="Roboto"/>
        </w:rPr>
      </w:pPr>
    </w:p>
    <w:p w14:paraId="0841572A" w14:textId="77777777" w:rsidR="00B06CC2" w:rsidRPr="00B06CC2" w:rsidRDefault="00B06CC2" w:rsidP="00B06CC2">
      <w:pPr>
        <w:jc w:val="center"/>
        <w:rPr>
          <w:rFonts w:ascii="Roboto" w:hAnsi="Roboto"/>
          <w:b/>
          <w:bCs/>
          <w:i/>
          <w:iCs/>
          <w:shd w:val="clear" w:color="auto" w:fill="FFFFFF"/>
        </w:rPr>
      </w:pPr>
      <w:r w:rsidRPr="00B06CC2">
        <w:rPr>
          <w:rFonts w:ascii="Roboto" w:hAnsi="Roboto"/>
          <w:b/>
          <w:bCs/>
          <w:i/>
          <w:iCs/>
          <w:shd w:val="clear" w:color="auto" w:fill="FFFFFF"/>
        </w:rPr>
        <w:t>The Rights of Users</w:t>
      </w:r>
    </w:p>
    <w:p w14:paraId="59E6D439" w14:textId="77777777" w:rsidR="00B06CC2" w:rsidRPr="00B06CC2" w:rsidRDefault="00B06CC2" w:rsidP="00B06CC2">
      <w:pPr>
        <w:jc w:val="both"/>
        <w:rPr>
          <w:rFonts w:ascii="Roboto" w:hAnsi="Roboto"/>
        </w:rPr>
      </w:pPr>
    </w:p>
    <w:p w14:paraId="4DB9A592" w14:textId="77777777" w:rsidR="00B06CC2" w:rsidRPr="00B06CC2" w:rsidRDefault="00B06CC2" w:rsidP="00B06CC2">
      <w:pPr>
        <w:jc w:val="both"/>
        <w:rPr>
          <w:rFonts w:ascii="Roboto" w:hAnsi="Roboto"/>
        </w:rPr>
      </w:pPr>
      <w:r w:rsidRPr="00B06CC2">
        <w:rPr>
          <w:rFonts w:ascii="Roboto" w:hAnsi="Roboto"/>
          <w:shd w:val="clear" w:color="auto" w:fill="FFFFFF"/>
        </w:rPr>
        <w:t>All library system and network policies, procedures, or regulations relating to electronic information and services should be scrutinized for potential violation of user rights.</w:t>
      </w:r>
    </w:p>
    <w:p w14:paraId="6611BE89" w14:textId="77777777" w:rsidR="00B06CC2" w:rsidRPr="00B06CC2" w:rsidRDefault="00B06CC2" w:rsidP="00B06CC2">
      <w:pPr>
        <w:jc w:val="both"/>
        <w:rPr>
          <w:rFonts w:ascii="Roboto" w:hAnsi="Roboto"/>
        </w:rPr>
      </w:pPr>
      <w:r w:rsidRPr="00B06CC2">
        <w:rPr>
          <w:rFonts w:ascii="Roboto" w:hAnsi="Roboto"/>
          <w:shd w:val="clear" w:color="auto" w:fill="FFFFFF"/>
        </w:rPr>
        <w:t>User policies should be developed according to the policies and guidelines established by the American Library Association, including </w:t>
      </w:r>
      <w:hyperlink r:id="rId10" w:history="1">
        <w:r w:rsidRPr="00B06CC2">
          <w:rPr>
            <w:rFonts w:ascii="Roboto" w:hAnsi="Roboto"/>
            <w:u w:val="single"/>
          </w:rPr>
          <w:t>Guidelines for the Development and Implementation of Policies, Regulations and Procedures Affecting Access to Library Materials, Services and Facilities</w:t>
        </w:r>
      </w:hyperlink>
      <w:r w:rsidRPr="00B06CC2">
        <w:rPr>
          <w:rFonts w:ascii="Roboto" w:hAnsi="Roboto"/>
          <w:shd w:val="clear" w:color="auto" w:fill="FFFFFF"/>
        </w:rPr>
        <w:t>.</w:t>
      </w:r>
    </w:p>
    <w:p w14:paraId="51C76835" w14:textId="77777777" w:rsidR="00B06CC2" w:rsidRDefault="00B06CC2" w:rsidP="00B06CC2">
      <w:pPr>
        <w:jc w:val="both"/>
        <w:rPr>
          <w:rFonts w:ascii="Roboto" w:hAnsi="Roboto"/>
          <w:shd w:val="clear" w:color="auto" w:fill="FFFFFF"/>
        </w:rPr>
      </w:pPr>
      <w:r w:rsidRPr="00B06CC2">
        <w:rPr>
          <w:rFonts w:ascii="Roboto" w:hAnsi="Roboto"/>
          <w:shd w:val="clear" w:color="auto" w:fill="FFFFFF"/>
        </w:rPr>
        <w:lastRenderedPageBreak/>
        <w:t>Users' access should not be restricted or denied for expressing or receiving constitutionally protected speech. If access is restricted or denied for behavioral or other reasons, users should be provided due process, including, but not limited to, formal notice and a means of appeal.</w:t>
      </w:r>
    </w:p>
    <w:p w14:paraId="0CEB02B0" w14:textId="77777777" w:rsidR="00B06CC2" w:rsidRPr="00B06CC2" w:rsidRDefault="00B06CC2" w:rsidP="00B06CC2">
      <w:pPr>
        <w:jc w:val="both"/>
        <w:rPr>
          <w:rFonts w:ascii="Roboto" w:hAnsi="Roboto"/>
        </w:rPr>
      </w:pPr>
    </w:p>
    <w:p w14:paraId="69F59C4F"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Information retrieved or utilized electronically is constitutionally protected unless determined otherwise by a court of law with appropriate jurisdiction. These rights extend to minors as well as adults (</w:t>
      </w:r>
      <w:hyperlink r:id="rId11" w:history="1">
        <w:r w:rsidRPr="00B06CC2">
          <w:rPr>
            <w:rFonts w:ascii="Roboto" w:hAnsi="Roboto"/>
            <w:u w:val="single"/>
          </w:rPr>
          <w:t>Free Access to Libraries for Minors</w:t>
        </w:r>
      </w:hyperlink>
      <w:r w:rsidRPr="00B06CC2">
        <w:rPr>
          <w:rFonts w:ascii="Roboto" w:hAnsi="Roboto"/>
          <w:shd w:val="clear" w:color="auto" w:fill="FFFFFF"/>
        </w:rPr>
        <w:t>; </w:t>
      </w:r>
      <w:hyperlink r:id="rId12" w:history="1">
        <w:r w:rsidRPr="00B06CC2">
          <w:rPr>
            <w:rFonts w:ascii="Roboto" w:hAnsi="Roboto"/>
            <w:u w:val="single"/>
          </w:rPr>
          <w:t>Access to Resources and Services in the School Library Media Program</w:t>
        </w:r>
      </w:hyperlink>
      <w:r w:rsidRPr="00B06CC2">
        <w:rPr>
          <w:rFonts w:ascii="Roboto" w:hAnsi="Roboto"/>
          <w:shd w:val="clear" w:color="auto" w:fill="FFFFFF"/>
        </w:rPr>
        <w:t>; </w:t>
      </w:r>
      <w:hyperlink r:id="rId13" w:history="1">
        <w:r w:rsidRPr="00B06CC2">
          <w:rPr>
            <w:rFonts w:ascii="Roboto" w:hAnsi="Roboto"/>
            <w:u w:val="single"/>
          </w:rPr>
          <w:t>Access for Children and Young Adults to Nonprint Materials</w:t>
        </w:r>
      </w:hyperlink>
      <w:r w:rsidRPr="00B06CC2">
        <w:rPr>
          <w:rFonts w:ascii="Roboto" w:hAnsi="Roboto"/>
          <w:shd w:val="clear" w:color="auto" w:fill="FFFFFF"/>
        </w:rPr>
        <w:t>).</w:t>
      </w:r>
      <w:hyperlink r:id="rId14" w:anchor="2" w:history="1">
        <w:r w:rsidRPr="00B06CC2">
          <w:rPr>
            <w:rFonts w:ascii="Roboto" w:hAnsi="Roboto"/>
            <w:u w:val="single"/>
            <w:vertAlign w:val="superscript"/>
          </w:rPr>
          <w:t>2</w:t>
        </w:r>
      </w:hyperlink>
      <w:r w:rsidRPr="00B06CC2">
        <w:rPr>
          <w:rFonts w:ascii="Roboto" w:hAnsi="Roboto"/>
          <w:shd w:val="clear" w:color="auto" w:fill="FFFFFF"/>
        </w:rPr>
        <w:t> </w:t>
      </w:r>
    </w:p>
    <w:p w14:paraId="69C2DA4C" w14:textId="77777777" w:rsidR="00B06CC2" w:rsidRPr="00B06CC2" w:rsidRDefault="00B06CC2" w:rsidP="00B06CC2">
      <w:pPr>
        <w:jc w:val="both"/>
        <w:rPr>
          <w:rFonts w:ascii="Roboto" w:hAnsi="Roboto"/>
        </w:rPr>
      </w:pPr>
    </w:p>
    <w:p w14:paraId="0E7A617D"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 xml:space="preserve">Libraries should use technology to enhance, not deny, access to information. Users have the right to be free of unreasonable limitations or conditions set by libraries, librarians, system administrators, vendors, network service providers, or others. Contracts, agreements, and licenses </w:t>
      </w:r>
      <w:proofErr w:type="gramStart"/>
      <w:r w:rsidRPr="00B06CC2">
        <w:rPr>
          <w:rFonts w:ascii="Roboto" w:hAnsi="Roboto"/>
          <w:shd w:val="clear" w:color="auto" w:fill="FFFFFF"/>
        </w:rPr>
        <w:t>entered into</w:t>
      </w:r>
      <w:proofErr w:type="gramEnd"/>
      <w:r w:rsidRPr="00B06CC2">
        <w:rPr>
          <w:rFonts w:ascii="Roboto" w:hAnsi="Roboto"/>
          <w:shd w:val="clear" w:color="auto" w:fill="FFFFFF"/>
        </w:rPr>
        <w:t xml:space="preserve"> by libraries on behalf of their users should not violate this right. Libraries should provide library </w:t>
      </w:r>
      <w:proofErr w:type="gramStart"/>
      <w:r w:rsidRPr="00B06CC2">
        <w:rPr>
          <w:rFonts w:ascii="Roboto" w:hAnsi="Roboto"/>
          <w:shd w:val="clear" w:color="auto" w:fill="FFFFFF"/>
        </w:rPr>
        <w:t>users</w:t>
      </w:r>
      <w:proofErr w:type="gramEnd"/>
      <w:r w:rsidRPr="00B06CC2">
        <w:rPr>
          <w:rFonts w:ascii="Roboto" w:hAnsi="Roboto"/>
          <w:shd w:val="clear" w:color="auto" w:fill="FFFFFF"/>
        </w:rPr>
        <w:t xml:space="preserve"> the training and assistance necessary to find, evaluate, and use information effectively.</w:t>
      </w:r>
    </w:p>
    <w:p w14:paraId="18A9CC47" w14:textId="77777777" w:rsidR="00B06CC2" w:rsidRPr="00B06CC2" w:rsidRDefault="00B06CC2" w:rsidP="00B06CC2">
      <w:pPr>
        <w:jc w:val="both"/>
        <w:rPr>
          <w:rFonts w:ascii="Roboto" w:hAnsi="Roboto"/>
        </w:rPr>
      </w:pPr>
    </w:p>
    <w:p w14:paraId="07FAA346"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Users have both the right of confidentiality and the right of privacy. The library should uphold these rights by policy, procedure, and practice in accordance with </w:t>
      </w:r>
      <w:hyperlink r:id="rId15" w:history="1">
        <w:r w:rsidRPr="00B06CC2">
          <w:rPr>
            <w:rFonts w:ascii="Roboto" w:hAnsi="Roboto"/>
            <w:u w:val="single"/>
          </w:rPr>
          <w:t>Privacy: An Interpretation of the Library Bill of Rights</w:t>
        </w:r>
      </w:hyperlink>
      <w:r w:rsidRPr="00B06CC2">
        <w:rPr>
          <w:rFonts w:ascii="Roboto" w:hAnsi="Roboto"/>
          <w:shd w:val="clear" w:color="auto" w:fill="FFFFFF"/>
        </w:rPr>
        <w:t>.</w:t>
      </w:r>
    </w:p>
    <w:p w14:paraId="57C1E038" w14:textId="77777777" w:rsidR="00B06CC2" w:rsidRPr="00B06CC2" w:rsidRDefault="00B06CC2" w:rsidP="00B06CC2">
      <w:pPr>
        <w:jc w:val="both"/>
        <w:rPr>
          <w:rFonts w:ascii="Roboto" w:hAnsi="Roboto"/>
        </w:rPr>
      </w:pPr>
    </w:p>
    <w:p w14:paraId="35566403" w14:textId="77777777" w:rsidR="00B06CC2" w:rsidRPr="00B06CC2" w:rsidRDefault="00B06CC2" w:rsidP="00B06CC2">
      <w:pPr>
        <w:jc w:val="center"/>
        <w:rPr>
          <w:rFonts w:ascii="Roboto" w:hAnsi="Roboto"/>
          <w:b/>
          <w:bCs/>
          <w:i/>
          <w:iCs/>
          <w:shd w:val="clear" w:color="auto" w:fill="FFFFFF"/>
        </w:rPr>
      </w:pPr>
      <w:r w:rsidRPr="00B06CC2">
        <w:rPr>
          <w:rFonts w:ascii="Roboto" w:hAnsi="Roboto"/>
          <w:b/>
          <w:bCs/>
          <w:i/>
          <w:iCs/>
          <w:shd w:val="clear" w:color="auto" w:fill="FFFFFF"/>
        </w:rPr>
        <w:t>Equity of Access</w:t>
      </w:r>
    </w:p>
    <w:p w14:paraId="4327FC48" w14:textId="77777777" w:rsidR="00B06CC2" w:rsidRPr="00B06CC2" w:rsidRDefault="00B06CC2" w:rsidP="00B06CC2">
      <w:pPr>
        <w:jc w:val="both"/>
        <w:rPr>
          <w:rFonts w:ascii="Roboto" w:hAnsi="Roboto"/>
        </w:rPr>
      </w:pPr>
    </w:p>
    <w:p w14:paraId="4E4787AD"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The Internet provides expanding opportunities for everyone to participate in the information society, but too many individuals face serious barriers to access. Libraries play a critical role in bridging information access gaps for these individuals. Libraries also ensure that the public can find content of interest and learn the necessary skills to use information successfully.</w:t>
      </w:r>
    </w:p>
    <w:p w14:paraId="3638B4A8" w14:textId="77777777" w:rsidR="00B06CC2" w:rsidRPr="00B06CC2" w:rsidRDefault="00B06CC2" w:rsidP="00B06CC2">
      <w:pPr>
        <w:jc w:val="both"/>
        <w:rPr>
          <w:rFonts w:ascii="Roboto" w:hAnsi="Roboto"/>
        </w:rPr>
      </w:pPr>
    </w:p>
    <w:p w14:paraId="292CE7B8" w14:textId="77777777" w:rsidR="00B06CC2" w:rsidRPr="00B06CC2" w:rsidRDefault="00B06CC2" w:rsidP="00B06CC2">
      <w:pPr>
        <w:jc w:val="both"/>
        <w:rPr>
          <w:rFonts w:ascii="Roboto" w:hAnsi="Roboto"/>
        </w:rPr>
      </w:pPr>
      <w:r w:rsidRPr="00B06CC2">
        <w:rPr>
          <w:rFonts w:ascii="Roboto" w:hAnsi="Roboto"/>
          <w:shd w:val="clear" w:color="auto" w:fill="FFFFFF"/>
        </w:rPr>
        <w:t>Electronic information, services, and networks provided directly or indirectly by the library should be equally, readily and equitably accessible to all library users. American Library Association policies oppose the charging of user fees for the provision of information services by libraries that receive their major support from public funds (</w:t>
      </w:r>
      <w:hyperlink r:id="rId16" w:history="1">
        <w:r w:rsidRPr="00B06CC2">
          <w:rPr>
            <w:rFonts w:ascii="Roboto" w:hAnsi="Roboto"/>
            <w:u w:val="single"/>
          </w:rPr>
          <w:t>50.3 Free Access to Information</w:t>
        </w:r>
      </w:hyperlink>
      <w:r w:rsidRPr="00B06CC2">
        <w:rPr>
          <w:rFonts w:ascii="Roboto" w:hAnsi="Roboto"/>
          <w:shd w:val="clear" w:color="auto" w:fill="FFFFFF"/>
        </w:rPr>
        <w:t>; </w:t>
      </w:r>
      <w:hyperlink r:id="rId17" w:history="1">
        <w:r w:rsidRPr="00B06CC2">
          <w:rPr>
            <w:rFonts w:ascii="Roboto" w:hAnsi="Roboto"/>
            <w:u w:val="single"/>
          </w:rPr>
          <w:t>53.1.14 Economic Barriers to Information Access</w:t>
        </w:r>
      </w:hyperlink>
      <w:r w:rsidRPr="00B06CC2">
        <w:rPr>
          <w:rFonts w:ascii="Roboto" w:hAnsi="Roboto"/>
          <w:shd w:val="clear" w:color="auto" w:fill="FFFFFF"/>
        </w:rPr>
        <w:t>; </w:t>
      </w:r>
      <w:hyperlink r:id="rId18" w:history="1">
        <w:r w:rsidRPr="00B06CC2">
          <w:rPr>
            <w:rFonts w:ascii="Roboto" w:hAnsi="Roboto"/>
            <w:u w:val="single"/>
          </w:rPr>
          <w:t>60.1.1 Minority Concerns Policy Objectives</w:t>
        </w:r>
      </w:hyperlink>
      <w:r w:rsidRPr="00B06CC2">
        <w:rPr>
          <w:rFonts w:ascii="Roboto" w:hAnsi="Roboto"/>
          <w:shd w:val="clear" w:color="auto" w:fill="FFFFFF"/>
        </w:rPr>
        <w:t>; </w:t>
      </w:r>
      <w:hyperlink r:id="rId19" w:history="1">
        <w:r w:rsidRPr="00B06CC2">
          <w:rPr>
            <w:rFonts w:ascii="Roboto" w:hAnsi="Roboto"/>
            <w:u w:val="single"/>
          </w:rPr>
          <w:t>61.1 Library Services for the Poor Policy Objectives</w:t>
        </w:r>
      </w:hyperlink>
      <w:r w:rsidRPr="00B06CC2">
        <w:rPr>
          <w:rFonts w:ascii="Roboto" w:hAnsi="Roboto"/>
          <w:shd w:val="clear" w:color="auto" w:fill="FFFFFF"/>
        </w:rPr>
        <w:t>). All libraries should develop policies concerning access to electronic information that are consistent with ALA's policy statements, including </w:t>
      </w:r>
      <w:hyperlink r:id="rId20" w:history="1">
        <w:r w:rsidRPr="00B06CC2">
          <w:rPr>
            <w:rFonts w:ascii="Roboto" w:hAnsi="Roboto"/>
            <w:u w:val="single"/>
          </w:rPr>
          <w:t>Economic Barriers to Information Access: An Interpretation of the Library Bill of Rights</w:t>
        </w:r>
      </w:hyperlink>
      <w:r w:rsidRPr="00B06CC2">
        <w:rPr>
          <w:rFonts w:ascii="Roboto" w:hAnsi="Roboto"/>
          <w:shd w:val="clear" w:color="auto" w:fill="FFFFFF"/>
        </w:rPr>
        <w:t>, </w:t>
      </w:r>
      <w:hyperlink r:id="rId21" w:history="1">
        <w:r w:rsidRPr="00B06CC2">
          <w:rPr>
            <w:rFonts w:ascii="Roboto" w:hAnsi="Roboto"/>
            <w:u w:val="single"/>
          </w:rPr>
          <w:t>Guidelines for the Development and Implementation of Policies, Regulations and Procedures Affecting Access to Library Materials, Services and Facilities</w:t>
        </w:r>
      </w:hyperlink>
      <w:r w:rsidRPr="00B06CC2">
        <w:rPr>
          <w:rFonts w:ascii="Roboto" w:hAnsi="Roboto"/>
          <w:shd w:val="clear" w:color="auto" w:fill="FFFFFF"/>
        </w:rPr>
        <w:t>, and </w:t>
      </w:r>
      <w:hyperlink r:id="rId22" w:history="1">
        <w:r w:rsidRPr="00B06CC2">
          <w:rPr>
            <w:rFonts w:ascii="Roboto" w:hAnsi="Roboto"/>
            <w:u w:val="single"/>
          </w:rPr>
          <w:t>Resolution on Access to the Use of Libraries and Information by Individuals with Physical or Mental Impairment</w:t>
        </w:r>
      </w:hyperlink>
      <w:r w:rsidRPr="00B06CC2">
        <w:rPr>
          <w:rFonts w:ascii="Roboto" w:hAnsi="Roboto"/>
          <w:shd w:val="clear" w:color="auto" w:fill="FFFFFF"/>
        </w:rPr>
        <w:t>.</w:t>
      </w:r>
    </w:p>
    <w:p w14:paraId="3AC23897" w14:textId="77777777" w:rsidR="00B06CC2" w:rsidRPr="00B06CC2" w:rsidRDefault="00B06CC2" w:rsidP="00B06CC2">
      <w:pPr>
        <w:jc w:val="center"/>
        <w:rPr>
          <w:rFonts w:ascii="Roboto" w:hAnsi="Roboto"/>
          <w:b/>
          <w:bCs/>
          <w:i/>
          <w:iCs/>
          <w:shd w:val="clear" w:color="auto" w:fill="FFFFFF"/>
        </w:rPr>
      </w:pPr>
      <w:r w:rsidRPr="00B06CC2">
        <w:rPr>
          <w:rFonts w:ascii="Roboto" w:hAnsi="Roboto"/>
          <w:b/>
          <w:bCs/>
          <w:i/>
          <w:iCs/>
          <w:shd w:val="clear" w:color="auto" w:fill="FFFFFF"/>
        </w:rPr>
        <w:lastRenderedPageBreak/>
        <w:t>Information Resources and Access</w:t>
      </w:r>
    </w:p>
    <w:p w14:paraId="5890BB94" w14:textId="77777777" w:rsidR="00B06CC2" w:rsidRPr="00B06CC2" w:rsidRDefault="00B06CC2" w:rsidP="00B06CC2">
      <w:pPr>
        <w:jc w:val="both"/>
        <w:rPr>
          <w:rFonts w:ascii="Roboto" w:hAnsi="Roboto"/>
        </w:rPr>
      </w:pPr>
    </w:p>
    <w:p w14:paraId="4801BBEB"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Providing connections to global information, services, and networks is not the same as selecting and purchasing materials for a library collection. Determining the accuracy or authenticity of electronic information may present special problems. Some information accessed electronically may not meet a library's selection or collection development policy. It is, therefore, left to each user to determine what is appropriate. </w:t>
      </w:r>
      <w:hyperlink r:id="rId23" w:history="1">
        <w:r w:rsidRPr="00B06CC2">
          <w:rPr>
            <w:rFonts w:ascii="Roboto" w:hAnsi="Roboto"/>
            <w:u w:val="single"/>
          </w:rPr>
          <w:t>Parents and legal guardians who are concerned about their children's use of electronic resources should provide guidance to their own children</w:t>
        </w:r>
      </w:hyperlink>
      <w:r w:rsidRPr="00B06CC2">
        <w:rPr>
          <w:rFonts w:ascii="Roboto" w:hAnsi="Roboto"/>
          <w:shd w:val="clear" w:color="auto" w:fill="FFFFFF"/>
        </w:rPr>
        <w:t>.</w:t>
      </w:r>
    </w:p>
    <w:p w14:paraId="14F50ED3" w14:textId="77777777" w:rsidR="00B06CC2" w:rsidRPr="00B06CC2" w:rsidRDefault="00B06CC2" w:rsidP="00B06CC2">
      <w:pPr>
        <w:jc w:val="both"/>
        <w:rPr>
          <w:rFonts w:ascii="Roboto" w:hAnsi="Roboto"/>
        </w:rPr>
      </w:pPr>
    </w:p>
    <w:p w14:paraId="0592EFA8"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 xml:space="preserve">Libraries, acting within their mission and objectives, must support access to information on all subjects that serve the needs or interests of each user, regardless of the user's age or the content of the material. </w:t>
      </w:r>
      <w:proofErr w:type="gramStart"/>
      <w:r w:rsidRPr="00B06CC2">
        <w:rPr>
          <w:rFonts w:ascii="Roboto" w:hAnsi="Roboto"/>
          <w:shd w:val="clear" w:color="auto" w:fill="FFFFFF"/>
        </w:rPr>
        <w:t>In order to</w:t>
      </w:r>
      <w:proofErr w:type="gramEnd"/>
      <w:r w:rsidRPr="00B06CC2">
        <w:rPr>
          <w:rFonts w:ascii="Roboto" w:hAnsi="Roboto"/>
          <w:shd w:val="clear" w:color="auto" w:fill="FFFFFF"/>
        </w:rPr>
        <w:t xml:space="preserve"> preserve the cultural record and to prevent the loss of information, libraries may need to expand their selection or collection development policies to ensure preservation, in appropriate formats, of information obtained electronically. Libraries have an obligation to provide access to government information available in electronic format.</w:t>
      </w:r>
    </w:p>
    <w:p w14:paraId="628DEF35" w14:textId="77777777" w:rsidR="00B06CC2" w:rsidRPr="00B06CC2" w:rsidRDefault="00B06CC2" w:rsidP="00B06CC2">
      <w:pPr>
        <w:jc w:val="both"/>
        <w:rPr>
          <w:rFonts w:ascii="Roboto" w:hAnsi="Roboto"/>
        </w:rPr>
      </w:pPr>
    </w:p>
    <w:p w14:paraId="7100A5DE" w14:textId="77777777" w:rsidR="00B06CC2" w:rsidRDefault="00B06CC2" w:rsidP="00B06CC2">
      <w:pPr>
        <w:jc w:val="both"/>
        <w:rPr>
          <w:rFonts w:ascii="Roboto" w:hAnsi="Roboto"/>
          <w:shd w:val="clear" w:color="auto" w:fill="FFFFFF"/>
        </w:rPr>
      </w:pPr>
      <w:r w:rsidRPr="00B06CC2">
        <w:rPr>
          <w:rFonts w:ascii="Roboto" w:hAnsi="Roboto"/>
          <w:shd w:val="clear" w:color="auto" w:fill="FFFFFF"/>
        </w:rPr>
        <w:t>Libraries and librarians should not deny or limit access to electronic information because of its allegedly controversial content or because of the librarian's personal beliefs or fear of confrontation. Furthermore, libraries and librarians should not deny access to electronic information solely on the grounds that it is perceived to lack value.</w:t>
      </w:r>
    </w:p>
    <w:p w14:paraId="05AEF8DB" w14:textId="77777777" w:rsidR="00B06CC2" w:rsidRPr="00B06CC2" w:rsidRDefault="00B06CC2" w:rsidP="00B06CC2">
      <w:pPr>
        <w:jc w:val="both"/>
        <w:rPr>
          <w:rFonts w:ascii="Roboto" w:hAnsi="Roboto"/>
        </w:rPr>
      </w:pPr>
    </w:p>
    <w:p w14:paraId="40E82B70" w14:textId="77777777" w:rsidR="00B06CC2" w:rsidRDefault="00B06CC2" w:rsidP="00B06CC2">
      <w:pPr>
        <w:jc w:val="both"/>
        <w:rPr>
          <w:rFonts w:ascii="Roboto" w:hAnsi="Roboto"/>
          <w:shd w:val="clear" w:color="auto" w:fill="FFFFFF"/>
          <w:vertAlign w:val="superscript"/>
        </w:rPr>
      </w:pPr>
      <w:r w:rsidRPr="00B06CC2">
        <w:rPr>
          <w:rFonts w:ascii="Roboto" w:hAnsi="Roboto"/>
          <w:shd w:val="clear" w:color="auto" w:fill="FFFFFF"/>
        </w:rPr>
        <w:t>Publicly funded libraries have a legal obligation to provide access to constitutionally protected information. Federal, state, county, municipal, local, or library governing bodies sometimes require the use of Internet filters or other technological measures that block access to constitutionally protected information, contrary to the </w:t>
      </w:r>
      <w:hyperlink r:id="rId24" w:history="1">
        <w:r w:rsidRPr="00B06CC2">
          <w:rPr>
            <w:rFonts w:ascii="Roboto" w:hAnsi="Roboto"/>
            <w:u w:val="single"/>
          </w:rPr>
          <w:t>Library Bill of Rights</w:t>
        </w:r>
      </w:hyperlink>
      <w:r w:rsidRPr="00B06CC2">
        <w:rPr>
          <w:rFonts w:ascii="Roboto" w:hAnsi="Roboto"/>
          <w:shd w:val="clear" w:color="auto" w:fill="FFFFFF"/>
        </w:rPr>
        <w:t> (ALA Policy Manual, </w:t>
      </w:r>
      <w:hyperlink r:id="rId25" w:history="1">
        <w:r w:rsidRPr="00B06CC2">
          <w:rPr>
            <w:rFonts w:ascii="Roboto" w:hAnsi="Roboto"/>
            <w:u w:val="single"/>
          </w:rPr>
          <w:t>53.1.17, Resolution on the Use of Filtering Software in Libraries</w:t>
        </w:r>
      </w:hyperlink>
      <w:r w:rsidRPr="00B06CC2">
        <w:rPr>
          <w:rFonts w:ascii="Roboto" w:hAnsi="Roboto"/>
          <w:shd w:val="clear" w:color="auto" w:fill="FFFFFF"/>
        </w:rPr>
        <w:t xml:space="preserve">). If a library uses a technological measure that blocks access to information, it should be set at the least restrictive level </w:t>
      </w:r>
      <w:proofErr w:type="gramStart"/>
      <w:r w:rsidRPr="00B06CC2">
        <w:rPr>
          <w:rFonts w:ascii="Roboto" w:hAnsi="Roboto"/>
          <w:shd w:val="clear" w:color="auto" w:fill="FFFFFF"/>
        </w:rPr>
        <w:t>in order to</w:t>
      </w:r>
      <w:proofErr w:type="gramEnd"/>
      <w:r w:rsidRPr="00B06CC2">
        <w:rPr>
          <w:rFonts w:ascii="Roboto" w:hAnsi="Roboto"/>
          <w:shd w:val="clear" w:color="auto" w:fill="FFFFFF"/>
        </w:rPr>
        <w:t xml:space="preserve"> minimize the blocking of constitutionally protected speech. Adults retain the right to access all constitutionally protected information and to ask for the technological measure to be disabled in a timely manner. Minors also retain the right to access constitutionally protected information and, at the minimum, have the right to ask the library or librarian to provide access to erroneously blocked information in a timely manner. Libraries and librarians have an obligation to inform users of these rights and to provide the means to exercise these rights.</w:t>
      </w:r>
      <w:hyperlink r:id="rId26" w:anchor="3" w:history="1">
        <w:r w:rsidRPr="00B06CC2">
          <w:rPr>
            <w:rFonts w:ascii="Roboto" w:hAnsi="Roboto"/>
            <w:u w:val="single"/>
            <w:vertAlign w:val="superscript"/>
          </w:rPr>
          <w:t>3</w:t>
        </w:r>
      </w:hyperlink>
    </w:p>
    <w:p w14:paraId="6A5216F8" w14:textId="77777777" w:rsidR="00B06CC2" w:rsidRPr="00B06CC2" w:rsidRDefault="00B06CC2" w:rsidP="00B06CC2">
      <w:pPr>
        <w:jc w:val="both"/>
        <w:rPr>
          <w:rFonts w:ascii="Roboto" w:hAnsi="Roboto"/>
        </w:rPr>
      </w:pPr>
    </w:p>
    <w:p w14:paraId="25D72FD8" w14:textId="087462E4" w:rsidR="00B06CC2" w:rsidRDefault="00B06CC2" w:rsidP="00B06CC2">
      <w:pPr>
        <w:jc w:val="both"/>
        <w:rPr>
          <w:rFonts w:ascii="Roboto" w:hAnsi="Roboto"/>
          <w:shd w:val="clear" w:color="auto" w:fill="FFFFFF"/>
        </w:rPr>
      </w:pPr>
      <w:r w:rsidRPr="00B06CC2">
        <w:rPr>
          <w:rFonts w:ascii="Roboto" w:hAnsi="Roboto"/>
          <w:shd w:val="clear" w:color="auto" w:fill="FFFFFF"/>
        </w:rPr>
        <w:t xml:space="preserve">Electronic resources provide unprecedented opportunities to expand the scope of information available to users. Libraries and librarians should provide access to information presenting all points of view. The provision of access does not imply sponsorship or endorsement. These principles pertain to electronic resources no less </w:t>
      </w:r>
      <w:r w:rsidRPr="00B06CC2">
        <w:rPr>
          <w:rFonts w:ascii="Roboto" w:hAnsi="Roboto"/>
          <w:shd w:val="clear" w:color="auto" w:fill="FFFFFF"/>
        </w:rPr>
        <w:lastRenderedPageBreak/>
        <w:t>than they do to the more traditional sources of information in libraries (</w:t>
      </w:r>
      <w:hyperlink r:id="rId27" w:history="1">
        <w:r w:rsidRPr="00B06CC2">
          <w:rPr>
            <w:rFonts w:ascii="Roboto" w:hAnsi="Roboto"/>
            <w:u w:val="single"/>
          </w:rPr>
          <w:t>Diversity in Collection Development</w:t>
        </w:r>
      </w:hyperlink>
      <w:r w:rsidRPr="00B06CC2">
        <w:rPr>
          <w:rFonts w:ascii="Roboto" w:hAnsi="Roboto"/>
          <w:shd w:val="clear" w:color="auto" w:fill="FFFFFF"/>
        </w:rPr>
        <w:t>).</w:t>
      </w:r>
    </w:p>
    <w:p w14:paraId="740267BE" w14:textId="77777777" w:rsidR="00B06CC2" w:rsidRDefault="00B06CC2">
      <w:pPr>
        <w:spacing w:after="160" w:line="259" w:lineRule="auto"/>
        <w:rPr>
          <w:rFonts w:ascii="Roboto" w:hAnsi="Roboto"/>
          <w:shd w:val="clear" w:color="auto" w:fill="FFFFFF"/>
        </w:rPr>
      </w:pPr>
      <w:r>
        <w:rPr>
          <w:rFonts w:ascii="Roboto" w:hAnsi="Roboto"/>
          <w:shd w:val="clear" w:color="auto" w:fill="FFFFFF"/>
        </w:rPr>
        <w:br w:type="page"/>
      </w:r>
    </w:p>
    <w:p w14:paraId="4B53483C" w14:textId="77777777" w:rsidR="00B06CC2" w:rsidRPr="00B06CC2" w:rsidRDefault="00B06CC2" w:rsidP="00B06CC2">
      <w:pPr>
        <w:jc w:val="both"/>
        <w:rPr>
          <w:rFonts w:ascii="Roboto" w:hAnsi="Roboto"/>
          <w:sz w:val="22"/>
          <w:szCs w:val="22"/>
          <w:shd w:val="clear" w:color="auto" w:fill="FFFFFF"/>
        </w:rPr>
      </w:pPr>
      <w:hyperlink r:id="rId28" w:anchor="1a" w:history="1">
        <w:r w:rsidRPr="00B06CC2">
          <w:rPr>
            <w:rFonts w:ascii="Roboto" w:hAnsi="Roboto"/>
            <w:sz w:val="22"/>
            <w:szCs w:val="22"/>
            <w:u w:val="single"/>
            <w:vertAlign w:val="superscript"/>
          </w:rPr>
          <w:t>1</w:t>
        </w:r>
      </w:hyperlink>
      <w:hyperlink r:id="rId29" w:history="1">
        <w:r w:rsidRPr="00B06CC2">
          <w:rPr>
            <w:rFonts w:ascii="Roboto" w:hAnsi="Roboto"/>
            <w:sz w:val="22"/>
            <w:szCs w:val="22"/>
            <w:u w:val="single"/>
          </w:rPr>
          <w:t>Martin v. Struthers</w:t>
        </w:r>
      </w:hyperlink>
      <w:r w:rsidRPr="00B06CC2">
        <w:rPr>
          <w:rFonts w:ascii="Roboto" w:hAnsi="Roboto"/>
          <w:sz w:val="22"/>
          <w:szCs w:val="22"/>
          <w:shd w:val="clear" w:color="auto" w:fill="FFFFFF"/>
        </w:rPr>
        <w:t>, 319 U.S. 141 (1943); </w:t>
      </w:r>
      <w:hyperlink r:id="rId30" w:history="1">
        <w:r w:rsidRPr="00B06CC2">
          <w:rPr>
            <w:rFonts w:ascii="Roboto" w:hAnsi="Roboto"/>
            <w:sz w:val="22"/>
            <w:szCs w:val="22"/>
            <w:u w:val="single"/>
          </w:rPr>
          <w:t>Lamont v. Postmaster General</w:t>
        </w:r>
      </w:hyperlink>
      <w:r w:rsidRPr="00B06CC2">
        <w:rPr>
          <w:rFonts w:ascii="Roboto" w:hAnsi="Roboto"/>
          <w:sz w:val="22"/>
          <w:szCs w:val="22"/>
          <w:shd w:val="clear" w:color="auto" w:fill="FFFFFF"/>
        </w:rPr>
        <w:t xml:space="preserve">, 381 U.S. 301 (1965); Susan </w:t>
      </w:r>
      <w:proofErr w:type="spellStart"/>
      <w:r w:rsidRPr="00B06CC2">
        <w:rPr>
          <w:rFonts w:ascii="Roboto" w:hAnsi="Roboto"/>
          <w:sz w:val="22"/>
          <w:szCs w:val="22"/>
          <w:shd w:val="clear" w:color="auto" w:fill="FFFFFF"/>
        </w:rPr>
        <w:t>Nevelow</w:t>
      </w:r>
      <w:proofErr w:type="spellEnd"/>
      <w:r w:rsidRPr="00B06CC2">
        <w:rPr>
          <w:rFonts w:ascii="Roboto" w:hAnsi="Roboto"/>
          <w:sz w:val="22"/>
          <w:szCs w:val="22"/>
          <w:shd w:val="clear" w:color="auto" w:fill="FFFFFF"/>
        </w:rPr>
        <w:t xml:space="preserve"> Mart, </w:t>
      </w:r>
      <w:hyperlink r:id="rId31" w:history="1">
        <w:r w:rsidRPr="00B06CC2">
          <w:rPr>
            <w:rFonts w:ascii="Roboto" w:hAnsi="Roboto"/>
            <w:sz w:val="22"/>
            <w:szCs w:val="22"/>
            <w:u w:val="single"/>
          </w:rPr>
          <w:t>The Right to Receive Information</w:t>
        </w:r>
      </w:hyperlink>
      <w:r w:rsidRPr="00B06CC2">
        <w:rPr>
          <w:rFonts w:ascii="Roboto" w:hAnsi="Roboto"/>
          <w:sz w:val="22"/>
          <w:szCs w:val="22"/>
          <w:shd w:val="clear" w:color="auto" w:fill="FFFFFF"/>
        </w:rPr>
        <w:t> (PDF), 95 Law Library Journal 2 (2003).</w:t>
      </w:r>
    </w:p>
    <w:p w14:paraId="12617D75" w14:textId="77777777" w:rsidR="00B06CC2" w:rsidRPr="00B06CC2" w:rsidRDefault="00B06CC2" w:rsidP="00B06CC2">
      <w:pPr>
        <w:jc w:val="both"/>
        <w:rPr>
          <w:rFonts w:ascii="Roboto" w:hAnsi="Roboto"/>
          <w:sz w:val="22"/>
          <w:szCs w:val="22"/>
        </w:rPr>
      </w:pPr>
    </w:p>
    <w:p w14:paraId="55070CAC" w14:textId="77777777" w:rsidR="00B06CC2" w:rsidRPr="00B06CC2" w:rsidRDefault="00B06CC2" w:rsidP="00B06CC2">
      <w:pPr>
        <w:jc w:val="both"/>
        <w:rPr>
          <w:rFonts w:ascii="Roboto" w:hAnsi="Roboto"/>
          <w:sz w:val="22"/>
          <w:szCs w:val="22"/>
          <w:shd w:val="clear" w:color="auto" w:fill="FFFFFF"/>
        </w:rPr>
      </w:pPr>
      <w:hyperlink r:id="rId32" w:anchor="2a" w:history="1">
        <w:r w:rsidRPr="00B06CC2">
          <w:rPr>
            <w:rFonts w:ascii="Roboto" w:hAnsi="Roboto"/>
            <w:sz w:val="22"/>
            <w:szCs w:val="22"/>
            <w:u w:val="single"/>
            <w:vertAlign w:val="superscript"/>
          </w:rPr>
          <w:t>2</w:t>
        </w:r>
      </w:hyperlink>
      <w:hyperlink r:id="rId33" w:history="1">
        <w:r w:rsidRPr="00B06CC2">
          <w:rPr>
            <w:rFonts w:ascii="Roboto" w:hAnsi="Roboto"/>
            <w:sz w:val="22"/>
            <w:szCs w:val="22"/>
            <w:u w:val="single"/>
          </w:rPr>
          <w:t>Tinker v. Des Moines Independent Community School District</w:t>
        </w:r>
      </w:hyperlink>
      <w:r w:rsidRPr="00B06CC2">
        <w:rPr>
          <w:rFonts w:ascii="Roboto" w:hAnsi="Roboto"/>
          <w:sz w:val="22"/>
          <w:szCs w:val="22"/>
          <w:shd w:val="clear" w:color="auto" w:fill="FFFFFF"/>
        </w:rPr>
        <w:t>, 393 U.S. 503 (1969); </w:t>
      </w:r>
      <w:hyperlink r:id="rId34" w:history="1">
        <w:r w:rsidRPr="00B06CC2">
          <w:rPr>
            <w:rFonts w:ascii="Roboto" w:hAnsi="Roboto"/>
            <w:sz w:val="22"/>
            <w:szCs w:val="22"/>
            <w:u w:val="single"/>
          </w:rPr>
          <w:t>Board of Education, Island Trees Union Free School District No. 26 v. Pico</w:t>
        </w:r>
      </w:hyperlink>
      <w:r w:rsidRPr="00B06CC2">
        <w:rPr>
          <w:rFonts w:ascii="Roboto" w:hAnsi="Roboto"/>
          <w:sz w:val="22"/>
          <w:szCs w:val="22"/>
          <w:shd w:val="clear" w:color="auto" w:fill="FFFFFF"/>
        </w:rPr>
        <w:t>, 457 U.S. 853, (1982); </w:t>
      </w:r>
      <w:hyperlink r:id="rId35" w:anchor="mfar" w:history="1">
        <w:r w:rsidRPr="00B06CC2">
          <w:rPr>
            <w:rFonts w:ascii="Roboto" w:hAnsi="Roboto"/>
            <w:sz w:val="22"/>
            <w:szCs w:val="22"/>
            <w:u w:val="single"/>
          </w:rPr>
          <w:t>American Amusement Machine Association v. Teri Kendrick</w:t>
        </w:r>
      </w:hyperlink>
      <w:r w:rsidRPr="00B06CC2">
        <w:rPr>
          <w:rFonts w:ascii="Roboto" w:hAnsi="Roboto"/>
          <w:sz w:val="22"/>
          <w:szCs w:val="22"/>
          <w:shd w:val="clear" w:color="auto" w:fill="FFFFFF"/>
        </w:rPr>
        <w:t xml:space="preserve">, 244 F.3d 954 (7th Cir. 2001); </w:t>
      </w:r>
      <w:proofErr w:type="spellStart"/>
      <w:r w:rsidRPr="00B06CC2">
        <w:rPr>
          <w:rFonts w:ascii="Roboto" w:hAnsi="Roboto"/>
          <w:sz w:val="22"/>
          <w:szCs w:val="22"/>
          <w:shd w:val="clear" w:color="auto" w:fill="FFFFFF"/>
        </w:rPr>
        <w:t>cert.denied</w:t>
      </w:r>
      <w:proofErr w:type="spellEnd"/>
      <w:r w:rsidRPr="00B06CC2">
        <w:rPr>
          <w:rFonts w:ascii="Roboto" w:hAnsi="Roboto"/>
          <w:sz w:val="22"/>
          <w:szCs w:val="22"/>
          <w:shd w:val="clear" w:color="auto" w:fill="FFFFFF"/>
        </w:rPr>
        <w:t>, 534 U.S. 994 (2001)</w:t>
      </w:r>
    </w:p>
    <w:p w14:paraId="1E818ED0" w14:textId="77777777" w:rsidR="00B06CC2" w:rsidRPr="00B06CC2" w:rsidRDefault="00B06CC2" w:rsidP="00B06CC2">
      <w:pPr>
        <w:jc w:val="both"/>
        <w:rPr>
          <w:rFonts w:ascii="Roboto" w:hAnsi="Roboto"/>
          <w:sz w:val="22"/>
          <w:szCs w:val="22"/>
        </w:rPr>
      </w:pPr>
    </w:p>
    <w:p w14:paraId="0A7E0B63" w14:textId="77777777" w:rsidR="00B06CC2" w:rsidRPr="00B06CC2" w:rsidRDefault="00B06CC2" w:rsidP="00B06CC2">
      <w:pPr>
        <w:jc w:val="both"/>
        <w:rPr>
          <w:rFonts w:ascii="Roboto" w:hAnsi="Roboto"/>
          <w:sz w:val="22"/>
          <w:szCs w:val="22"/>
        </w:rPr>
      </w:pPr>
      <w:hyperlink r:id="rId36" w:anchor="3a" w:history="1">
        <w:r w:rsidRPr="00B06CC2">
          <w:rPr>
            <w:rFonts w:ascii="Roboto" w:hAnsi="Roboto"/>
            <w:sz w:val="22"/>
            <w:szCs w:val="22"/>
            <w:u w:val="single"/>
            <w:vertAlign w:val="superscript"/>
          </w:rPr>
          <w:t>3</w:t>
        </w:r>
      </w:hyperlink>
      <w:r w:rsidRPr="00B06CC2">
        <w:rPr>
          <w:rFonts w:ascii="Roboto" w:hAnsi="Roboto"/>
          <w:sz w:val="22"/>
          <w:szCs w:val="22"/>
          <w:shd w:val="clear" w:color="auto" w:fill="FFFFFF"/>
        </w:rPr>
        <w:t>"If some libraries do not have the capacity to unblock specific Web sites or to disable the filter or if it is shown that an adult user's election to view constitutionally protected Internet material is burdened in some other substantial way, that would be the subject for an as-applied challenge, not the facial challenge made in this case." </w:t>
      </w:r>
      <w:hyperlink r:id="rId37" w:history="1">
        <w:r w:rsidRPr="00B06CC2">
          <w:rPr>
            <w:rFonts w:ascii="Roboto" w:hAnsi="Roboto"/>
            <w:sz w:val="22"/>
            <w:szCs w:val="22"/>
            <w:u w:val="single"/>
          </w:rPr>
          <w:t>United States, et al. v. American Library Association</w:t>
        </w:r>
      </w:hyperlink>
      <w:r w:rsidRPr="00B06CC2">
        <w:rPr>
          <w:rFonts w:ascii="Roboto" w:hAnsi="Roboto"/>
          <w:sz w:val="22"/>
          <w:szCs w:val="22"/>
          <w:shd w:val="clear" w:color="auto" w:fill="FFFFFF"/>
        </w:rPr>
        <w:t> (PDF), 539 U.S. 194 (2003) (Justice Kennedy, concurring).</w:t>
      </w:r>
    </w:p>
    <w:p w14:paraId="208793D5" w14:textId="77777777" w:rsidR="00B06CC2" w:rsidRPr="00B06CC2" w:rsidRDefault="00B06CC2" w:rsidP="00B06CC2">
      <w:pPr>
        <w:jc w:val="both"/>
        <w:rPr>
          <w:rFonts w:ascii="Roboto" w:hAnsi="Roboto"/>
        </w:rPr>
      </w:pPr>
      <w:r w:rsidRPr="00B06CC2">
        <w:rPr>
          <w:rFonts w:ascii="Roboto" w:hAnsi="Roboto"/>
        </w:rPr>
        <w:pict w14:anchorId="3C6E4DFC">
          <v:rect id="_x0000_i1034" style="width:324pt;height:1.5pt" o:hrpct="750" o:hralign="center" o:hrstd="t" o:hr="t" fillcolor="gray" stroked="f"/>
        </w:pict>
      </w:r>
    </w:p>
    <w:p w14:paraId="0C3F1512" w14:textId="77777777" w:rsidR="00B06CC2" w:rsidRPr="00B06CC2" w:rsidRDefault="00B06CC2" w:rsidP="00B06CC2">
      <w:pPr>
        <w:jc w:val="center"/>
        <w:rPr>
          <w:rFonts w:ascii="Roboto" w:hAnsi="Roboto"/>
          <w:i/>
          <w:iCs/>
          <w:sz w:val="22"/>
          <w:szCs w:val="22"/>
        </w:rPr>
      </w:pPr>
      <w:r w:rsidRPr="00B06CC2">
        <w:rPr>
          <w:rFonts w:ascii="Roboto" w:hAnsi="Roboto"/>
          <w:i/>
          <w:iCs/>
          <w:sz w:val="22"/>
          <w:szCs w:val="22"/>
          <w:shd w:val="clear" w:color="auto" w:fill="FFFFFF"/>
        </w:rPr>
        <w:t>Adopted January 24, 1996, by the ALA Council; amended January 19, 2005.</w:t>
      </w:r>
    </w:p>
    <w:p w14:paraId="66638BA6" w14:textId="21F34271" w:rsidR="00C645CD" w:rsidRPr="00B06CC2" w:rsidRDefault="00C645CD" w:rsidP="00B06CC2">
      <w:pPr>
        <w:jc w:val="both"/>
        <w:rPr>
          <w:rFonts w:ascii="Roboto" w:hAnsi="Roboto"/>
        </w:rPr>
      </w:pPr>
    </w:p>
    <w:sectPr w:rsidR="00C645CD" w:rsidRPr="00B06CC2">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0258" w14:textId="77777777" w:rsidR="00D36115" w:rsidRDefault="00D36115" w:rsidP="00D36115">
      <w:r>
        <w:separator/>
      </w:r>
    </w:p>
  </w:endnote>
  <w:endnote w:type="continuationSeparator" w:id="0">
    <w:p w14:paraId="5E62BB53" w14:textId="77777777" w:rsidR="00D36115" w:rsidRDefault="00D36115" w:rsidP="00D3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5149805"/>
      <w:docPartObj>
        <w:docPartGallery w:val="Page Numbers (Bottom of Page)"/>
        <w:docPartUnique/>
      </w:docPartObj>
    </w:sdtPr>
    <w:sdtEndPr>
      <w:rPr>
        <w:noProof/>
      </w:rPr>
    </w:sdtEndPr>
    <w:sdtContent>
      <w:p w14:paraId="0C916BA3" w14:textId="3C6E8D17" w:rsidR="004854D6" w:rsidRDefault="004854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45C71" w14:textId="77777777" w:rsidR="004854D6" w:rsidRDefault="00485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3469" w14:textId="77777777" w:rsidR="00D36115" w:rsidRDefault="00D36115" w:rsidP="00D36115">
      <w:r>
        <w:separator/>
      </w:r>
    </w:p>
  </w:footnote>
  <w:footnote w:type="continuationSeparator" w:id="0">
    <w:p w14:paraId="58666621" w14:textId="77777777" w:rsidR="00D36115" w:rsidRDefault="00D36115" w:rsidP="00D36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048A" w14:textId="1D101760" w:rsidR="00D36115" w:rsidRDefault="00D36115">
    <w:pPr>
      <w:pStyle w:val="Header"/>
    </w:pPr>
    <w:r>
      <w:rPr>
        <w:noProof/>
        <w14:ligatures w14:val="standardContextual"/>
      </w:rPr>
      <w:drawing>
        <wp:inline distT="0" distB="0" distL="0" distR="0" wp14:anchorId="0D5D6FB5" wp14:editId="5195F341">
          <wp:extent cx="2198418" cy="935502"/>
          <wp:effectExtent l="0" t="0" r="0" b="0"/>
          <wp:docPr id="9964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1822" name="Picture 99641822"/>
                  <pic:cNvPicPr/>
                </pic:nvPicPr>
                <pic:blipFill>
                  <a:blip r:embed="rId1">
                    <a:extLst>
                      <a:ext uri="{28A0092B-C50C-407E-A947-70E740481C1C}">
                        <a14:useLocalDpi xmlns:a14="http://schemas.microsoft.com/office/drawing/2010/main" val="0"/>
                      </a:ext>
                    </a:extLst>
                  </a:blip>
                  <a:stretch>
                    <a:fillRect/>
                  </a:stretch>
                </pic:blipFill>
                <pic:spPr>
                  <a:xfrm>
                    <a:off x="0" y="0"/>
                    <a:ext cx="2206491" cy="938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F2B18"/>
    <w:multiLevelType w:val="hybridMultilevel"/>
    <w:tmpl w:val="E12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A212B"/>
    <w:multiLevelType w:val="hybridMultilevel"/>
    <w:tmpl w:val="3B36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E7D7D"/>
    <w:multiLevelType w:val="hybridMultilevel"/>
    <w:tmpl w:val="03FEA3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E74B47"/>
    <w:multiLevelType w:val="hybridMultilevel"/>
    <w:tmpl w:val="594AF112"/>
    <w:lvl w:ilvl="0" w:tplc="F9EED316">
      <w:start w:val="1"/>
      <w:numFmt w:val="decimal"/>
      <w:lvlText w:val="%1."/>
      <w:lvlJc w:val="left"/>
      <w:pPr>
        <w:ind w:left="940" w:hanging="58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B524E3"/>
    <w:multiLevelType w:val="hybridMultilevel"/>
    <w:tmpl w:val="A3A8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094241">
    <w:abstractNumId w:val="0"/>
  </w:num>
  <w:num w:numId="2" w16cid:durableId="533155789">
    <w:abstractNumId w:val="1"/>
  </w:num>
  <w:num w:numId="3" w16cid:durableId="1447776564">
    <w:abstractNumId w:val="4"/>
  </w:num>
  <w:num w:numId="4" w16cid:durableId="572350958">
    <w:abstractNumId w:val="2"/>
  </w:num>
  <w:num w:numId="5" w16cid:durableId="2028211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78"/>
    <w:rsid w:val="00200EFD"/>
    <w:rsid w:val="004854D6"/>
    <w:rsid w:val="004E305C"/>
    <w:rsid w:val="004E59D6"/>
    <w:rsid w:val="005A4578"/>
    <w:rsid w:val="005C0130"/>
    <w:rsid w:val="00A5454C"/>
    <w:rsid w:val="00AE6A6B"/>
    <w:rsid w:val="00B06CC2"/>
    <w:rsid w:val="00B75284"/>
    <w:rsid w:val="00C645CD"/>
    <w:rsid w:val="00D36115"/>
    <w:rsid w:val="00DE1089"/>
    <w:rsid w:val="00DF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F48AA"/>
  <w15:chartTrackingRefBased/>
  <w15:docId w15:val="{B3736C2D-72AA-423A-B9EF-9AF433A1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78"/>
    <w:pPr>
      <w:spacing w:after="0" w:line="240" w:lineRule="auto"/>
    </w:pPr>
    <w:rPr>
      <w:rFonts w:ascii="Verdana" w:eastAsia="Times New Roman" w:hAnsi="Verdana" w:cs="Times New Roman"/>
      <w:kern w:val="0"/>
      <w:sz w:val="24"/>
      <w:szCs w:val="24"/>
      <w14:ligatures w14:val="none"/>
    </w:rPr>
  </w:style>
  <w:style w:type="paragraph" w:styleId="Heading1">
    <w:name w:val="heading 1"/>
    <w:basedOn w:val="Normal"/>
    <w:next w:val="Normal"/>
    <w:link w:val="Heading1Char"/>
    <w:uiPriority w:val="9"/>
    <w:qFormat/>
    <w:rsid w:val="00DF5B7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F5B7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F5B7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F5B7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F5B7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F5B7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F5B7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F5B7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F5B7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B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B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B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B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B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B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B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B78"/>
    <w:rPr>
      <w:rFonts w:eastAsiaTheme="majorEastAsia" w:cstheme="majorBidi"/>
      <w:color w:val="272727" w:themeColor="text1" w:themeTint="D8"/>
    </w:rPr>
  </w:style>
  <w:style w:type="paragraph" w:styleId="Title">
    <w:name w:val="Title"/>
    <w:basedOn w:val="Normal"/>
    <w:next w:val="Normal"/>
    <w:link w:val="TitleChar"/>
    <w:uiPriority w:val="10"/>
    <w:qFormat/>
    <w:rsid w:val="00DF5B7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F5B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B7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F5B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B7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F5B78"/>
    <w:rPr>
      <w:i/>
      <w:iCs/>
      <w:color w:val="404040" w:themeColor="text1" w:themeTint="BF"/>
    </w:rPr>
  </w:style>
  <w:style w:type="paragraph" w:styleId="ListParagraph">
    <w:name w:val="List Paragraph"/>
    <w:basedOn w:val="Normal"/>
    <w:uiPriority w:val="34"/>
    <w:qFormat/>
    <w:rsid w:val="00DF5B7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F5B78"/>
    <w:rPr>
      <w:i/>
      <w:iCs/>
      <w:color w:val="0F4761" w:themeColor="accent1" w:themeShade="BF"/>
    </w:rPr>
  </w:style>
  <w:style w:type="paragraph" w:styleId="IntenseQuote">
    <w:name w:val="Intense Quote"/>
    <w:basedOn w:val="Normal"/>
    <w:next w:val="Normal"/>
    <w:link w:val="IntenseQuoteChar"/>
    <w:uiPriority w:val="30"/>
    <w:qFormat/>
    <w:rsid w:val="00DF5B7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F5B78"/>
    <w:rPr>
      <w:i/>
      <w:iCs/>
      <w:color w:val="0F4761" w:themeColor="accent1" w:themeShade="BF"/>
    </w:rPr>
  </w:style>
  <w:style w:type="character" w:styleId="IntenseReference">
    <w:name w:val="Intense Reference"/>
    <w:basedOn w:val="DefaultParagraphFont"/>
    <w:uiPriority w:val="32"/>
    <w:qFormat/>
    <w:rsid w:val="00DF5B78"/>
    <w:rPr>
      <w:b/>
      <w:bCs/>
      <w:smallCaps/>
      <w:color w:val="0F4761" w:themeColor="accent1" w:themeShade="BF"/>
      <w:spacing w:val="5"/>
    </w:rPr>
  </w:style>
  <w:style w:type="paragraph" w:styleId="Header">
    <w:name w:val="header"/>
    <w:basedOn w:val="Normal"/>
    <w:link w:val="HeaderChar"/>
    <w:uiPriority w:val="99"/>
    <w:unhideWhenUsed/>
    <w:rsid w:val="00D36115"/>
    <w:pPr>
      <w:tabs>
        <w:tab w:val="center" w:pos="4680"/>
        <w:tab w:val="right" w:pos="9360"/>
      </w:tabs>
    </w:pPr>
  </w:style>
  <w:style w:type="character" w:customStyle="1" w:styleId="HeaderChar">
    <w:name w:val="Header Char"/>
    <w:basedOn w:val="DefaultParagraphFont"/>
    <w:link w:val="Header"/>
    <w:uiPriority w:val="99"/>
    <w:rsid w:val="00D36115"/>
    <w:rPr>
      <w:rFonts w:ascii="Verdana" w:eastAsia="Times New Roman" w:hAnsi="Verdana" w:cs="Times New Roman"/>
      <w:kern w:val="0"/>
      <w:sz w:val="24"/>
      <w:szCs w:val="24"/>
      <w14:ligatures w14:val="none"/>
    </w:rPr>
  </w:style>
  <w:style w:type="paragraph" w:styleId="Footer">
    <w:name w:val="footer"/>
    <w:basedOn w:val="Normal"/>
    <w:link w:val="FooterChar"/>
    <w:uiPriority w:val="99"/>
    <w:unhideWhenUsed/>
    <w:rsid w:val="00D36115"/>
    <w:pPr>
      <w:tabs>
        <w:tab w:val="center" w:pos="4680"/>
        <w:tab w:val="right" w:pos="9360"/>
      </w:tabs>
    </w:pPr>
  </w:style>
  <w:style w:type="character" w:customStyle="1" w:styleId="FooterChar">
    <w:name w:val="Footer Char"/>
    <w:basedOn w:val="DefaultParagraphFont"/>
    <w:link w:val="Footer"/>
    <w:uiPriority w:val="99"/>
    <w:rsid w:val="00D36115"/>
    <w:rPr>
      <w:rFonts w:ascii="Verdana" w:eastAsia="Times New Roman" w:hAnsi="Verdan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a.org/Template.cfm?Section=interpretations&amp;Template=/ContentManagement/ContentDisplay.cfm&amp;ContentID=31870" TargetMode="External"/><Relationship Id="rId18" Type="http://schemas.openxmlformats.org/officeDocument/2006/relationships/hyperlink" Target="http://www.ala.org/ala/ourassociation/governingdocs/policymanual/minorityconcerns.htm" TargetMode="External"/><Relationship Id="rId26" Type="http://schemas.openxmlformats.org/officeDocument/2006/relationships/hyperlink" Target="http://www.ala.org/Template.cfm?Section=interpretations&amp;Template=/ContentManagement/ContentDisplay.cfm&amp;ContentID=31872" TargetMode="External"/><Relationship Id="rId39" Type="http://schemas.openxmlformats.org/officeDocument/2006/relationships/footer" Target="footer1.xml"/><Relationship Id="rId21" Type="http://schemas.openxmlformats.org/officeDocument/2006/relationships/hyperlink" Target="http://www.ala.org/Template.cfm?Section=otherpolicies&amp;Template=/ContentManagement/ContentDisplay.cfm&amp;ContentID=78184" TargetMode="External"/><Relationship Id="rId34" Type="http://schemas.openxmlformats.org/officeDocument/2006/relationships/hyperlink" Target="http://caselaw.lp.findlaw.com/scripts/getcase.pl?court=us&amp;vol=457&amp;invol=853" TargetMode="External"/><Relationship Id="rId7" Type="http://schemas.openxmlformats.org/officeDocument/2006/relationships/hyperlink" Target="http://www.ala.org/Template.cfm?Section=interpretations&amp;Template=/ContentManagement/ContentDisplay.cfm&amp;ContentID=31872" TargetMode="External"/><Relationship Id="rId2" Type="http://schemas.openxmlformats.org/officeDocument/2006/relationships/styles" Target="styles.xml"/><Relationship Id="rId16" Type="http://schemas.openxmlformats.org/officeDocument/2006/relationships/hyperlink" Target="http://www.ala.org/ala/ourassociation/governingdocs/policymanual/nationalinformation.htm" TargetMode="External"/><Relationship Id="rId20" Type="http://schemas.openxmlformats.org/officeDocument/2006/relationships/hyperlink" Target="http://www.ala.org/Template.cfm?Section=interpretations&amp;Template=/ContentManagement/ContentDisplay.cfm&amp;ContentID=76532" TargetMode="External"/><Relationship Id="rId29" Type="http://schemas.openxmlformats.org/officeDocument/2006/relationships/hyperlink" Target="http://caselaw.lp.findlaw.com/scripts/getcase.pl?court=US&amp;vol=319&amp;invol=14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org/Template.cfm?Section=interpretations&amp;Template=/ContentManagement/ContentDisplay.cfm&amp;ContentID=8639" TargetMode="External"/><Relationship Id="rId24" Type="http://schemas.openxmlformats.org/officeDocument/2006/relationships/hyperlink" Target="http://www.ala.org/ala/oif/statementspols/statementsif/librarybillrights.htm" TargetMode="External"/><Relationship Id="rId32" Type="http://schemas.openxmlformats.org/officeDocument/2006/relationships/hyperlink" Target="http://www.ala.org/Template.cfm?Section=interpretations&amp;Template=/ContentManagement/ContentDisplay.cfm&amp;ContentID=31872" TargetMode="External"/><Relationship Id="rId37" Type="http://schemas.openxmlformats.org/officeDocument/2006/relationships/hyperlink" Target="http://www.supremecourtus.gov/opinions/02pdf/02-361.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la.org/Template.cfm?Section=interpretations&amp;Template=/ContentManagement/ContentDisplay.cfm&amp;ContentID=83534" TargetMode="External"/><Relationship Id="rId23" Type="http://schemas.openxmlformats.org/officeDocument/2006/relationships/hyperlink" Target="http://www.ala.org/ala/oif/foryoungpeople/youngpeopleparents/especiallyyoungpeople.htm" TargetMode="External"/><Relationship Id="rId28" Type="http://schemas.openxmlformats.org/officeDocument/2006/relationships/hyperlink" Target="http://www.ala.org/Template.cfm?Section=interpretations&amp;Template=/ContentManagement/ContentDisplay.cfm&amp;ContentID=31872" TargetMode="External"/><Relationship Id="rId36" Type="http://schemas.openxmlformats.org/officeDocument/2006/relationships/hyperlink" Target="http://www.ala.org/Template.cfm?Section=interpretations&amp;Template=/ContentManagement/ContentDisplay.cfm&amp;ContentID=31872" TargetMode="External"/><Relationship Id="rId10" Type="http://schemas.openxmlformats.org/officeDocument/2006/relationships/hyperlink" Target="http://www.ala.org/Template.cfm?Section=otherpolicies&amp;Template=/ContentManagement/ContentDisplay.cfm&amp;ContentID=78184" TargetMode="External"/><Relationship Id="rId19" Type="http://schemas.openxmlformats.org/officeDocument/2006/relationships/hyperlink" Target="http://www.ala.org/ala/ourassociation/governingdocs/policymanual/servicespoor.htm" TargetMode="External"/><Relationship Id="rId31" Type="http://schemas.openxmlformats.org/officeDocument/2006/relationships/hyperlink" Target="http://www.aallnet.org/products/2003-11.pdf" TargetMode="External"/><Relationship Id="rId4" Type="http://schemas.openxmlformats.org/officeDocument/2006/relationships/webSettings" Target="webSettings.xml"/><Relationship Id="rId9" Type="http://schemas.openxmlformats.org/officeDocument/2006/relationships/hyperlink" Target="http://www.ala.org/ala/oif/statementspols/statementsif/librarybillrights.htm" TargetMode="External"/><Relationship Id="rId14" Type="http://schemas.openxmlformats.org/officeDocument/2006/relationships/hyperlink" Target="http://www.ala.org/Template.cfm?Section=interpretations&amp;Template=/ContentManagement/ContentDisplay.cfm&amp;ContentID=31872" TargetMode="External"/><Relationship Id="rId22" Type="http://schemas.openxmlformats.org/officeDocument/2006/relationships/hyperlink" Target="http://www.ala.org/Template.cfm?Section=ifresolutions&amp;Template=/ContentManagement/ContentDisplay.cfm&amp;ContentID=78162" TargetMode="External"/><Relationship Id="rId27" Type="http://schemas.openxmlformats.org/officeDocument/2006/relationships/hyperlink" Target="http://www.ala.org/Template.cfm?Section=interpretations&amp;Template=/ContentManagement/ContentDisplay.cfm&amp;ContentID=8530" TargetMode="External"/><Relationship Id="rId30" Type="http://schemas.openxmlformats.org/officeDocument/2006/relationships/hyperlink" Target="http://caselaw.lp.findlaw.com/scripts/getcase.pl?court=US&amp;vol=381&amp;invol=301" TargetMode="External"/><Relationship Id="rId35" Type="http://schemas.openxmlformats.org/officeDocument/2006/relationships/hyperlink" Target="http://www.ala.org/ala/oif/firstamendment/courtcases/courtcases.htm" TargetMode="External"/><Relationship Id="rId8" Type="http://schemas.openxmlformats.org/officeDocument/2006/relationships/hyperlink" Target="http://www.ala.org/ala/oif/statementspols/codeofethics/codeethics.htm" TargetMode="External"/><Relationship Id="rId3" Type="http://schemas.openxmlformats.org/officeDocument/2006/relationships/settings" Target="settings.xml"/><Relationship Id="rId12" Type="http://schemas.openxmlformats.org/officeDocument/2006/relationships/hyperlink" Target="http://www.ala.org/Template.cfm?Section=interpretations&amp;Template=/ContentManagement/ContentDisplay.cfm&amp;ContentID=8521" TargetMode="External"/><Relationship Id="rId17" Type="http://schemas.openxmlformats.org/officeDocument/2006/relationships/hyperlink" Target="http://www.ala.org/Template.cfm?Section=interpretations&amp;Template=/ContentManagement/ContentDisplay.cfm&amp;ContentID=76532" TargetMode="External"/><Relationship Id="rId25" Type="http://schemas.openxmlformats.org/officeDocument/2006/relationships/hyperlink" Target="http://www.ala.org/Template.cfm?Section=ifresolutions&amp;Template=/ContentManagement/ContentDisplay.cfm&amp;ContentID=78171" TargetMode="External"/><Relationship Id="rId33" Type="http://schemas.openxmlformats.org/officeDocument/2006/relationships/hyperlink" Target="http://caselaw.lp.findlaw.com/scripts/getcase.pl?court=US&amp;vol=393&amp;invol=503"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Free Library</dc:creator>
  <cp:keywords/>
  <dc:description/>
  <cp:lastModifiedBy>Frost Free Library</cp:lastModifiedBy>
  <cp:revision>2</cp:revision>
  <dcterms:created xsi:type="dcterms:W3CDTF">2024-08-15T18:21:00Z</dcterms:created>
  <dcterms:modified xsi:type="dcterms:W3CDTF">2024-08-15T18:21:00Z</dcterms:modified>
</cp:coreProperties>
</file>